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rPr>
      </w:pPr>
      <w:r>
        <w:rPr>
          <w:rFonts w:eastAsia="Times New Roman" w:cs="Times New Roman" w:ascii="Times New Roman" w:hAnsi="Times New Roman"/>
          <w:b/>
          <w:bCs/>
          <w:i w:val="false"/>
          <w:iCs w:val="false"/>
          <w:color w:val="000000"/>
          <w:sz w:val="36"/>
          <w:u w:val="none"/>
        </w:rPr>
        <w:t xml:space="preserve">USNESENÍ </w:t>
      </w:r>
    </w:p>
    <w:p>
      <w:pPr>
        <w:pStyle w:val="Normal"/>
        <w:jc w:val="center"/>
        <w:rPr>
          <w:rFonts w:ascii="Times New Roman" w:hAnsi="Times New Roman"/>
        </w:rPr>
      </w:pPr>
      <w:r>
        <w:rPr>
          <w:rFonts w:eastAsia="Times New Roman" w:cs="Times New Roman" w:ascii="Times New Roman" w:hAnsi="Times New Roman"/>
          <w:b/>
          <w:bCs/>
          <w:color w:val="000000"/>
          <w:sz w:val="32"/>
        </w:rPr>
        <w:t xml:space="preserve">z 10. zasedání Zastupitelstva obce v Janově nad Nisou </w:t>
      </w:r>
    </w:p>
    <w:p>
      <w:pPr>
        <w:pStyle w:val="Normal"/>
        <w:jc w:val="center"/>
        <w:rPr>
          <w:rFonts w:ascii="Times New Roman" w:hAnsi="Times New Roman"/>
        </w:rPr>
      </w:pPr>
      <w:r>
        <w:rPr>
          <w:rFonts w:eastAsia="Times New Roman" w:cs="Times New Roman" w:ascii="Times New Roman" w:hAnsi="Times New Roman"/>
          <w:b/>
          <w:bCs/>
          <w:color w:val="000000"/>
          <w:sz w:val="32"/>
        </w:rPr>
        <w:t>konaného dne 10. prosince 2025</w:t>
      </w:r>
    </w:p>
    <w:p>
      <w:pPr>
        <w:pStyle w:val="Normal"/>
        <w:jc w:val="center"/>
        <w:rPr>
          <w:rFonts w:ascii="Times New Roman" w:hAnsi="Times New Roman" w:eastAsia="Times New Roman" w:cs="Times New Roman"/>
          <w:b/>
          <w:bCs/>
          <w:color w:val="000000"/>
          <w:sz w:val="32"/>
        </w:rPr>
      </w:pPr>
      <w:r>
        <w:rPr>
          <w:rFonts w:eastAsia="Times New Roman" w:cs="Times New Roman" w:ascii="Times New Roman" w:hAnsi="Times New Roman"/>
          <w:b/>
          <w:bCs/>
          <w:color w:val="000000"/>
          <w:sz w:val="32"/>
        </w:rPr>
      </w:r>
    </w:p>
    <w:p>
      <w:pPr>
        <w:pStyle w:val="Normal"/>
        <w:jc w:val="center"/>
        <w:rPr>
          <w:rFonts w:ascii="Times New Roman" w:hAnsi="Times New Roman" w:eastAsia="Times New Roman" w:cs="Times New Roman"/>
          <w:b/>
          <w:bCs/>
          <w:color w:val="000000"/>
          <w:sz w:val="32"/>
        </w:rPr>
      </w:pPr>
      <w:r>
        <w:rPr>
          <w:rFonts w:eastAsia="Times New Roman" w:cs="Times New Roman" w:ascii="Times New Roman" w:hAnsi="Times New Roman"/>
          <w:b/>
          <w:bCs/>
          <w:color w:val="000000"/>
          <w:sz w:val="24"/>
          <w:szCs w:val="24"/>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75</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jc w:val="both"/>
        <w:rPr>
          <w:rFonts w:ascii="Times New Roman" w:hAnsi="Times New Roman"/>
        </w:rPr>
      </w:pPr>
      <w:r>
        <w:rPr>
          <w:rFonts w:ascii="Times New Roman" w:hAnsi="Times New Roman"/>
        </w:rPr>
        <w:t>ZO Janov nad Nisou schvaluje termíny řádného jednání Zastupitelstva obce Janov nad Nisou na 1. pololetí roku 2026 a to na:</w:t>
      </w:r>
      <w:r>
        <w:rPr>
          <w:rFonts w:ascii="Times New Roman" w:hAnsi="Times New Roman"/>
          <w:lang w:bidi="zxx"/>
        </w:rPr>
        <w:t xml:space="preserve"> 28.1., 25.2., 25.3., 29.4., 27.5., 24.6./2026</w:t>
      </w:r>
      <w:r>
        <w:rPr>
          <w:rFonts w:ascii="Times New Roman" w:hAnsi="Times New Roman"/>
          <w:lang w:eastAsia="zxx" w:bidi="zxx"/>
        </w:rPr>
        <w:t>.</w:t>
      </w:r>
    </w:p>
    <w:p>
      <w:pPr>
        <w:pStyle w:val="Normal"/>
        <w:tabs>
          <w:tab w:val="clear" w:pos="709"/>
          <w:tab w:val="left" w:pos="360" w:leader="none"/>
        </w:tabs>
        <w:jc w:val="both"/>
        <w:rPr>
          <w:rFonts w:cs="Times New Roman"/>
          <w:b/>
          <w:bCs/>
          <w:color w:val="000000"/>
          <w:position w:val="0"/>
          <w:sz w:val="24"/>
          <w:sz w:val="24"/>
          <w:szCs w:val="24"/>
          <w:u w:val="single"/>
          <w:vertAlign w:val="baseline"/>
          <w:lang w:val="cs-CZ" w:eastAsia="cs-CZ" w:bidi="cs-CZ"/>
        </w:rPr>
      </w:pPr>
      <w:r>
        <w:rPr>
          <w:rFonts w:cs="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cs="Times New Roman"/>
          <w:b/>
          <w:bCs/>
          <w:color w:val="000000"/>
          <w:position w:val="0"/>
          <w:sz w:val="24"/>
          <w:sz w:val="24"/>
          <w:szCs w:val="24"/>
          <w:u w:val="single"/>
          <w:vertAlign w:val="baseline"/>
          <w:lang w:val="cs-CZ" w:eastAsia="cs-CZ" w:bidi="cs-CZ"/>
        </w:rPr>
      </w:pPr>
      <w:r>
        <w:rPr>
          <w:rFonts w:cs="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76</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widowControl/>
        <w:tabs>
          <w:tab w:val="clear" w:pos="709"/>
          <w:tab w:val="left" w:pos="1210" w:leader="none"/>
        </w:tabs>
        <w:suppressAutoHyphens w:val="false"/>
        <w:bidi w:val="0"/>
        <w:spacing w:lineRule="atLeast" w:line="100" w:before="0" w:after="120"/>
        <w:jc w:val="both"/>
        <w:rPr>
          <w:rFonts w:ascii="Times New Roman" w:hAnsi="Times New Roman"/>
        </w:rPr>
      </w:pPr>
      <w:r>
        <w:rPr>
          <w:rFonts w:ascii="Times New Roman" w:hAnsi="Times New Roman"/>
          <w:color w:val="020000"/>
        </w:rPr>
        <w:t>ZO Janov nad Nisou schvaluje zveřejnění záměru prodeje, vypracování geometrického plánu a znaleckého posudku na část pozemku ppč. 174/9 – trvalý travní porost v k. ú. Hraničná nad Nisou.</w:t>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77</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widowControl/>
        <w:tabs>
          <w:tab w:val="clear" w:pos="709"/>
          <w:tab w:val="left" w:pos="1210" w:leader="none"/>
        </w:tabs>
        <w:suppressAutoHyphens w:val="false"/>
        <w:bidi w:val="0"/>
        <w:spacing w:lineRule="atLeast" w:line="100" w:before="0" w:after="120"/>
        <w:jc w:val="both"/>
        <w:rPr>
          <w:rFonts w:ascii="Times New Roman" w:hAnsi="Times New Roman"/>
        </w:rPr>
      </w:pPr>
      <w:r>
        <w:rPr>
          <w:rFonts w:ascii="Times New Roman" w:hAnsi="Times New Roman"/>
          <w:color w:val="020000"/>
        </w:rPr>
        <w:t>ZO Janov nad Nisou schvaluje prodej pozemku stpč. 184/2 – zastavěná plocha a nádvoří o výměře 3 m</w:t>
      </w:r>
      <w:r>
        <w:rPr>
          <w:rFonts w:ascii="Times New Roman" w:hAnsi="Times New Roman"/>
          <w:color w:val="020000"/>
          <w:vertAlign w:val="superscript"/>
        </w:rPr>
        <w:t xml:space="preserve">2 </w:t>
      </w:r>
      <w:r>
        <w:rPr>
          <w:rFonts w:ascii="Times New Roman" w:hAnsi="Times New Roman"/>
          <w:color w:val="020000"/>
        </w:rPr>
        <w:t xml:space="preserve">v k. ú. Hraničná nad Nisou paní  I. </w:t>
      </w:r>
      <w:r>
        <w:rPr>
          <w:rFonts w:ascii="Times New Roman" w:hAnsi="Times New Roman"/>
          <w:color w:val="020000"/>
        </w:rPr>
        <w:t>H.- F.</w:t>
      </w:r>
      <w:r>
        <w:rPr>
          <w:rFonts w:ascii="Times New Roman" w:hAnsi="Times New Roman"/>
          <w:color w:val="020000"/>
        </w:rPr>
        <w:t xml:space="preserve"> za cenu 900,- Kč.</w:t>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78</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tabs>
          <w:tab w:val="clear" w:pos="709"/>
          <w:tab w:val="left" w:pos="360" w:leader="none"/>
        </w:tabs>
        <w:jc w:val="both"/>
        <w:rPr>
          <w:rFonts w:ascii="Times New Roman" w:hAnsi="Times New Roman"/>
          <w:color w:val="030000"/>
        </w:rPr>
      </w:pPr>
      <w:r>
        <w:rPr>
          <w:rFonts w:ascii="Times New Roman" w:hAnsi="Times New Roman"/>
          <w:color w:val="030000"/>
        </w:rPr>
        <w:t>Zastupitelstvo obce Janov nad Nisou schvaluje předložený záměr společnosti CETIN uskutečnit na území obce Janov nad Nisou výstavbu optické sítě umístěním podzemního či  nadzemního vedení (pouze ve stávajících trasách), jednorázově či po jednotlivých etapách. Zastupitelstvo obce Janov nad Nisou schvaluje, že výše jednorázových úplat, které společnost CETIN bude dle smluv o zřízení služebnosti v nových trasách nebo smluv o budoucí smlouvě o zřízení služebnosti povinna zaplatit obci za zřízení služebností k nemovitým věcem ve vlastnictví obce pro zajištění práv společnosti CETIN užívat nemovité věci ve vlastnictví obce Janov nad Nisou k umístnění a provozování podzemního či nadzemního vedení bude stanovena na základě ceníku obce. </w:t>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79</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widowControl/>
        <w:tabs>
          <w:tab w:val="clear" w:pos="709"/>
          <w:tab w:val="left" w:pos="1210" w:leader="none"/>
        </w:tabs>
        <w:suppressAutoHyphens w:val="false"/>
        <w:bidi w:val="0"/>
        <w:spacing w:lineRule="atLeast" w:line="100" w:before="0" w:after="120"/>
        <w:jc w:val="both"/>
        <w:rPr>
          <w:rFonts w:ascii="Times New Roman" w:hAnsi="Times New Roman"/>
        </w:rPr>
      </w:pPr>
      <w:r>
        <w:rPr>
          <w:rFonts w:eastAsia="Lucida Sans Unicode" w:cs="Times New Roman" w:ascii="Times New Roman" w:hAnsi="Times New Roman"/>
          <w:b w:val="false"/>
          <w:bCs w:val="false"/>
          <w:i w:val="false"/>
          <w:iCs w:val="false"/>
          <w:caps w:val="false"/>
          <w:smallCaps w:val="false"/>
          <w:strike w:val="false"/>
          <w:dstrike w:val="false"/>
          <w:outline w:val="false"/>
          <w:shadow w:val="false"/>
          <w:color w:val="auto"/>
          <w:spacing w:val="0"/>
          <w:kern w:val="2"/>
          <w:position w:val="0"/>
          <w:sz w:val="24"/>
          <w:sz w:val="24"/>
          <w:szCs w:val="24"/>
          <w:u w:val="none"/>
          <w:vertAlign w:val="baseline"/>
          <w:lang w:val="cs-CZ" w:eastAsia="cs-CZ" w:bidi="zxx"/>
        </w:rPr>
        <w:t>ZO Janov nad Nisou v souladu s § 68, odst. 4 zákona č. 283/2021 Sb., stavební zákon, ve znění pozdějších předpisů, projednalo Územní studii ÚS 30 a s řešením souhlasí</w:t>
      </w:r>
      <w:r>
        <w:rPr>
          <w:rFonts w:eastAsia="Lucida Sans Unicode" w:cs="Times New Roman" w:ascii="Times New Roman" w:hAnsi="Times New Roman"/>
          <w:b w:val="false"/>
          <w:bCs w:val="false"/>
          <w:i w:val="false"/>
          <w:iCs w:val="false"/>
          <w:caps w:val="false"/>
          <w:smallCaps w:val="false"/>
          <w:strike w:val="false"/>
          <w:dstrike w:val="false"/>
          <w:outline w:val="false"/>
          <w:shadow w:val="false"/>
          <w:color w:val="020000"/>
          <w:spacing w:val="0"/>
          <w:kern w:val="2"/>
          <w:position w:val="0"/>
          <w:sz w:val="24"/>
          <w:sz w:val="24"/>
          <w:szCs w:val="24"/>
          <w:u w:val="none"/>
          <w:vertAlign w:val="baseline"/>
          <w:lang w:val="cs-CZ" w:eastAsia="cs-CZ" w:bidi="zxx"/>
        </w:rPr>
        <w:t>.</w:t>
      </w:r>
      <w:r>
        <w:rPr>
          <w:rFonts w:ascii="Times New Roman" w:hAnsi="Times New Roman"/>
          <w:i/>
          <w:iCs/>
          <w:caps w:val="false"/>
          <w:smallCaps w:val="false"/>
          <w:strike w:val="false"/>
          <w:dstrike w:val="false"/>
          <w:outline w:val="false"/>
          <w:shadow w:val="false"/>
          <w:spacing w:val="0"/>
          <w:kern w:val="2"/>
          <w:u w:val="none"/>
          <w:shd w:fill="auto" w:val="clear"/>
          <w:lang w:eastAsia="zxx" w:bidi="ar-SA"/>
        </w:rPr>
        <w:tab/>
        <w:tab/>
        <w:tab/>
        <w:tab/>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80</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jc w:val="both"/>
        <w:rPr>
          <w:rFonts w:ascii="Times New Roman" w:hAnsi="Times New Roman"/>
        </w:rPr>
      </w:pPr>
      <w:r>
        <w:rPr>
          <w:rFonts w:ascii="Times New Roman" w:hAnsi="Times New Roman"/>
        </w:rPr>
        <w:t xml:space="preserve">ZO Janov nad Nisou schvaluje poskytnutí finančního daru ve výši 9. 464,- Kč Centru pro zdravotně postižené Libereckého kraje, o.p.s. </w:t>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81</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rPr>
          <w:rFonts w:ascii="Times New Roman" w:hAnsi="Times New Roman" w:cs="Times New Roman"/>
          <w:b w:val="false"/>
          <w:bCs w:val="false"/>
        </w:rPr>
      </w:pPr>
      <w:r>
        <w:rPr>
          <w:rFonts w:cs="Times New Roman" w:ascii="Times New Roman" w:hAnsi="Times New Roman"/>
          <w:b w:val="false"/>
          <w:bCs w:val="false"/>
        </w:rPr>
        <w:t>ZO Janov nad Nisou schvaluje poskytnutí finančního daru ve výši 5.000,- Kč  Nadačnímu fondu pro odložené děti Statim na zřízení nového Babyboxu.</w:t>
      </w:r>
    </w:p>
    <w:p>
      <w:pPr>
        <w:pStyle w:val="Normal"/>
        <w:rPr>
          <w:rFonts w:ascii="Times New Roman" w:hAnsi="Times New Roman" w:cs="Times New Roman"/>
        </w:rPr>
      </w:pPr>
      <w:r>
        <w:rPr>
          <w:rFonts w:cs="Times New Roman" w:ascii="Times New Roman" w:hAnsi="Times New Roman"/>
        </w:rPr>
        <w:t xml:space="preserve">  </w:t>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82</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tabs>
          <w:tab w:val="clear" w:pos="709"/>
          <w:tab w:val="left" w:pos="360" w:leader="none"/>
        </w:tabs>
        <w:jc w:val="both"/>
        <w:rPr>
          <w:rFonts w:ascii="Times New Roman" w:hAnsi="Times New Roman" w:eastAsia="Times New Roman" w:cs="Times New Roman"/>
          <w:b w:val="false"/>
          <w:bCs w:val="false"/>
          <w:color w:val="000000"/>
          <w:position w:val="0"/>
          <w:sz w:val="24"/>
          <w:sz w:val="24"/>
          <w:szCs w:val="24"/>
          <w:u w:val="none"/>
          <w:vertAlign w:val="baseline"/>
          <w:lang w:val="cs-CZ" w:eastAsia="cs-CZ" w:bidi="cs-CZ"/>
        </w:rPr>
      </w:pPr>
      <w:r>
        <w:rPr>
          <w:rFonts w:eastAsia="Times New Roman" w:cs="Times New Roman" w:ascii="Times New Roman" w:hAnsi="Times New Roman"/>
          <w:b w:val="false"/>
          <w:bCs w:val="false"/>
          <w:color w:val="000000"/>
          <w:kern w:val="2"/>
          <w:position w:val="0"/>
          <w:sz w:val="24"/>
          <w:sz w:val="24"/>
          <w:szCs w:val="24"/>
          <w:u w:val="none"/>
          <w:shd w:fill="auto" w:val="clear"/>
          <w:vertAlign w:val="baseline"/>
          <w:lang w:val="cs-CZ" w:eastAsia="cs-CZ" w:bidi="cs-CZ"/>
        </w:rPr>
        <w:t>ZO schvaluje pravidla rozpočtového provizoria na rok 2026 dle přiložené důvodové zprávy.</w:t>
      </w:r>
    </w:p>
    <w:p>
      <w:pPr>
        <w:pStyle w:val="Normal"/>
        <w:tabs>
          <w:tab w:val="clear" w:pos="709"/>
          <w:tab w:val="left" w:pos="360" w:leader="none"/>
        </w:tabs>
        <w:jc w:val="both"/>
        <w:rPr>
          <w:rFonts w:ascii="Times New Roman" w:hAnsi="Times New Roman" w:eastAsia="Times New Roman" w:cs="Times New Roman"/>
          <w:b w:val="false"/>
          <w:bCs w:val="false"/>
          <w:color w:val="000000"/>
          <w:position w:val="0"/>
          <w:sz w:val="24"/>
          <w:sz w:val="24"/>
          <w:szCs w:val="24"/>
          <w:u w:val="none"/>
          <w:vertAlign w:val="baseline"/>
          <w:lang w:val="cs-CZ" w:eastAsia="cs-CZ" w:bidi="cs-CZ"/>
        </w:rPr>
      </w:pPr>
      <w:r>
        <w:rPr>
          <w:rFonts w:eastAsia="Times New Roman" w:cs="Times New Roman" w:ascii="Times New Roman" w:hAnsi="Times New Roman"/>
          <w:b w:val="false"/>
          <w:bCs w:val="false"/>
          <w:color w:val="000000"/>
          <w:position w:val="0"/>
          <w:sz w:val="24"/>
          <w:sz w:val="24"/>
          <w:szCs w:val="24"/>
          <w:u w:val="non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val="false"/>
          <w:bCs w:val="false"/>
          <w:color w:val="000000"/>
          <w:position w:val="0"/>
          <w:sz w:val="24"/>
          <w:sz w:val="24"/>
          <w:szCs w:val="24"/>
          <w:u w:val="none"/>
          <w:vertAlign w:val="baseline"/>
          <w:lang w:val="cs-CZ" w:eastAsia="cs-CZ" w:bidi="cs-CZ"/>
        </w:rPr>
      </w:pPr>
      <w:r>
        <w:rPr>
          <w:rFonts w:eastAsia="Times New Roman" w:cs="Times New Roman" w:ascii="Times New Roman" w:hAnsi="Times New Roman"/>
          <w:b w:val="false"/>
          <w:bCs w:val="false"/>
          <w:color w:val="000000"/>
          <w:position w:val="0"/>
          <w:sz w:val="24"/>
          <w:sz w:val="24"/>
          <w:szCs w:val="24"/>
          <w:u w:val="none"/>
          <w:vertAlign w:val="baseline"/>
          <w:lang w:val="cs-CZ" w:eastAsia="cs-CZ" w:bidi="cs-CZ"/>
        </w:rPr>
      </w:r>
    </w:p>
    <w:p>
      <w:pPr>
        <w:pStyle w:val="Normal"/>
        <w:tabs>
          <w:tab w:val="clear" w:pos="709"/>
          <w:tab w:val="left" w:pos="360" w:leader="none"/>
        </w:tabs>
        <w:jc w:val="both"/>
        <w:rPr>
          <w:rFonts w:ascii="Times New Roman" w:hAnsi="Times New Roman"/>
        </w:rPr>
      </w:pPr>
      <w:r>
        <w:rPr>
          <w:rFonts w:cs="Times New Roman" w:ascii="Times New Roman" w:hAnsi="Times New Roman"/>
          <w:b/>
          <w:bCs/>
          <w:color w:val="000000"/>
          <w:position w:val="0"/>
          <w:sz w:val="24"/>
          <w:sz w:val="24"/>
          <w:szCs w:val="24"/>
          <w:u w:val="single"/>
          <w:vertAlign w:val="baseline"/>
          <w:lang w:val="cs-CZ" w:eastAsia="cs-CZ" w:bidi="cs-CZ"/>
        </w:rPr>
        <w:t>Usnesení č. 83</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widowControl w:val="false"/>
        <w:shd w:val="clear" w:fill="FFFFFF"/>
        <w:tabs>
          <w:tab w:val="clear" w:pos="709"/>
          <w:tab w:val="left" w:pos="1024" w:leader="none"/>
        </w:tabs>
        <w:suppressAutoHyphens w:val="true"/>
        <w:bidi w:val="0"/>
        <w:spacing w:lineRule="atLeast" w:line="100" w:before="0" w:after="120"/>
        <w:jc w:val="both"/>
        <w:rPr/>
      </w:pPr>
      <w:r>
        <w:rPr>
          <w:rStyle w:val="Hyperlink"/>
          <w:rFonts w:eastAsia="Lucida Sans Unicode" w:cs="Times New Roman" w:ascii="Times New Roman" w:hAnsi="Times New Roman"/>
          <w:b/>
          <w:bCs/>
          <w:i w:val="false"/>
          <w:iCs/>
          <w:caps w:val="false"/>
          <w:smallCaps w:val="false"/>
          <w:strike w:val="false"/>
          <w:dstrike w:val="false"/>
          <w:outline w:val="false"/>
          <w:shadow w:val="false"/>
          <w:color w:val="000000"/>
          <w:spacing w:val="0"/>
          <w:kern w:val="2"/>
          <w:position w:val="0"/>
          <w:sz w:val="24"/>
          <w:sz w:val="24"/>
          <w:szCs w:val="24"/>
          <w:u w:val="none"/>
          <w:shd w:fill="auto" w:val="clear"/>
          <w:vertAlign w:val="baseline"/>
          <w:lang w:val="cs-CZ" w:eastAsia="cs-CZ" w:bidi="zxx"/>
        </w:rPr>
        <w:t>ZO schvaluje následující rozpočtová opatření č. 5/2025</w:t>
      </w:r>
    </w:p>
    <w:p>
      <w:pPr>
        <w:pStyle w:val="BodyText"/>
        <w:widowControl w:val="false"/>
        <w:shd w:val="clear" w:fill="FFFFFF"/>
        <w:tabs>
          <w:tab w:val="clear" w:pos="709"/>
          <w:tab w:val="left" w:pos="1024" w:leader="none"/>
        </w:tabs>
        <w:suppressAutoHyphens w:val="true"/>
        <w:bidi w:val="0"/>
        <w:spacing w:lineRule="atLeast" w:line="100" w:before="0" w:after="120"/>
        <w:jc w:val="both"/>
        <w:rPr>
          <w:rFonts w:ascii="Times New Roman" w:hAnsi="Times New Roman" w:eastAsia="Lucida Sans Unicode" w:cs="Times New Roman"/>
          <w:b/>
          <w:bCs/>
          <w:i w:val="false"/>
          <w:i w:val="false"/>
          <w:iCs/>
          <w:caps w:val="false"/>
          <w:smallCaps w:val="false"/>
          <w:strike w:val="false"/>
          <w:dstrike w:val="false"/>
          <w:outline w:val="false"/>
          <w:shadow w:val="false"/>
          <w:color w:val="auto"/>
          <w:spacing w:val="0"/>
          <w:kern w:val="2"/>
          <w:position w:val="0"/>
          <w:sz w:val="24"/>
          <w:sz w:val="24"/>
          <w:szCs w:val="24"/>
          <w:u w:val="none"/>
          <w:shd w:fill="auto" w:val="clear"/>
          <w:vertAlign w:val="baseline"/>
          <w:lang w:val="cs-CZ" w:eastAsia="cs-CZ" w:bidi="zxx"/>
        </w:rPr>
      </w:pPr>
      <w:r>
        <w:rPr>
          <w:rFonts w:eastAsia="Lucida Sans Unicode" w:cs="Times New Roman" w:ascii="Times New Roman" w:hAnsi="Times New Roman"/>
          <w:b/>
          <w:bCs/>
          <w:i w:val="false"/>
          <w:iCs/>
          <w:caps w:val="false"/>
          <w:smallCaps w:val="false"/>
          <w:strike w:val="false"/>
          <w:dstrike w:val="false"/>
          <w:outline w:val="false"/>
          <w:shadow w:val="false"/>
          <w:color w:val="000000"/>
          <w:spacing w:val="0"/>
          <w:kern w:val="2"/>
          <w:position w:val="0"/>
          <w:sz w:val="24"/>
          <w:sz w:val="24"/>
          <w:szCs w:val="24"/>
          <w:u w:val="none"/>
          <w:shd w:fill="auto" w:val="clear"/>
          <w:vertAlign w:val="baseline"/>
          <w:lang w:val="cs-CZ" w:eastAsia="cs-CZ" w:bidi="zxx"/>
        </w:rPr>
      </w:r>
    </w:p>
    <w:tbl>
      <w:tblPr>
        <w:tblW w:w="11156" w:type="dxa"/>
        <w:jc w:val="start"/>
        <w:tblInd w:w="-103" w:type="dxa"/>
        <w:tblLayout w:type="fixed"/>
        <w:tblCellMar>
          <w:top w:w="34" w:type="dxa"/>
          <w:start w:w="40" w:type="dxa"/>
          <w:bottom w:w="34" w:type="dxa"/>
          <w:end w:w="40" w:type="dxa"/>
        </w:tblCellMar>
        <w:tblLook w:firstRow="1" w:noVBand="1" w:lastRow="0" w:firstColumn="1" w:lastColumn="0" w:noHBand="0" w:val="04a0"/>
      </w:tblPr>
      <w:tblGrid>
        <w:gridCol w:w="330"/>
        <w:gridCol w:w="435"/>
        <w:gridCol w:w="447"/>
        <w:gridCol w:w="333"/>
        <w:gridCol w:w="765"/>
        <w:gridCol w:w="329"/>
        <w:gridCol w:w="886"/>
        <w:gridCol w:w="1110"/>
        <w:gridCol w:w="1215"/>
        <w:gridCol w:w="1215"/>
        <w:gridCol w:w="1214"/>
        <w:gridCol w:w="2876"/>
      </w:tblGrid>
      <w:tr>
        <w:trPr>
          <w:cantSplit w:val="true"/>
        </w:trPr>
        <w:tc>
          <w:tcPr>
            <w:tcW w:w="11155" w:type="dxa"/>
            <w:gridSpan w:val="12"/>
            <w:tcBorders>
              <w:top w:val="single" w:sz="6" w:space="0" w:color="000000"/>
            </w:tcBorders>
          </w:tcPr>
          <w:p>
            <w:pPr>
              <w:pStyle w:val="Normal"/>
              <w:spacing w:lineRule="auto" w:line="240" w:before="0" w:after="0"/>
              <w:rPr>
                <w:rFonts w:ascii="Calibri" w:hAnsi="Calibri"/>
                <w:b/>
                <w:sz w:val="25"/>
              </w:rPr>
            </w:pPr>
            <w:r>
              <w:rPr>
                <w:rFonts w:ascii="Calibri" w:hAnsi="Calibri"/>
                <w:b/>
                <w:sz w:val="25"/>
              </w:rPr>
              <w:t>PŘÍJMY</w:t>
            </w:r>
          </w:p>
        </w:tc>
      </w:tr>
      <w:tr>
        <w:trPr>
          <w:cantSplit w:val="true"/>
        </w:trPr>
        <w:tc>
          <w:tcPr>
            <w:tcW w:w="330" w:type="dxa"/>
            <w:tcBorders>
              <w:bottom w:val="single" w:sz="6" w:space="0" w:color="000000"/>
            </w:tcBorders>
            <w:tcMar>
              <w:start w:w="0" w:type="dxa"/>
              <w:end w:w="0" w:type="dxa"/>
            </w:tcMar>
          </w:tcPr>
          <w:p>
            <w:pPr>
              <w:pStyle w:val="Normal"/>
              <w:spacing w:lineRule="auto" w:line="240" w:before="0" w:after="0"/>
              <w:jc w:val="end"/>
              <w:rPr>
                <w:rFonts w:ascii="Calibri" w:hAnsi="Calibri"/>
                <w:i/>
                <w:i/>
                <w:sz w:val="14"/>
              </w:rPr>
            </w:pPr>
            <w:r>
              <w:rPr>
                <w:rFonts w:ascii="Calibri" w:hAnsi="Calibri"/>
                <w:i/>
                <w:sz w:val="14"/>
              </w:rPr>
            </w:r>
          </w:p>
        </w:tc>
        <w:tc>
          <w:tcPr>
            <w:tcW w:w="43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OdPa</w:t>
            </w:r>
          </w:p>
        </w:tc>
        <w:tc>
          <w:tcPr>
            <w:tcW w:w="447"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Pol</w:t>
            </w:r>
          </w:p>
        </w:tc>
        <w:tc>
          <w:tcPr>
            <w:tcW w:w="333"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ZJ</w:t>
            </w:r>
          </w:p>
        </w:tc>
        <w:tc>
          <w:tcPr>
            <w:tcW w:w="76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Uz</w:t>
            </w:r>
          </w:p>
        </w:tc>
        <w:tc>
          <w:tcPr>
            <w:tcW w:w="329"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Mu</w:t>
            </w:r>
          </w:p>
        </w:tc>
        <w:tc>
          <w:tcPr>
            <w:tcW w:w="886"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Orj</w:t>
            </w:r>
          </w:p>
        </w:tc>
        <w:tc>
          <w:tcPr>
            <w:tcW w:w="1110"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Org</w:t>
            </w:r>
          </w:p>
        </w:tc>
        <w:tc>
          <w:tcPr>
            <w:tcW w:w="121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Původní hodnota</w:t>
            </w:r>
          </w:p>
        </w:tc>
        <w:tc>
          <w:tcPr>
            <w:tcW w:w="121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Změna</w:t>
            </w:r>
          </w:p>
        </w:tc>
        <w:tc>
          <w:tcPr>
            <w:tcW w:w="1214"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r>
          </w:p>
        </w:tc>
        <w:tc>
          <w:tcPr>
            <w:tcW w:w="2876" w:type="dxa"/>
            <w:tcBorders>
              <w:bottom w:val="single" w:sz="6" w:space="0" w:color="000000"/>
            </w:tcBorders>
          </w:tcPr>
          <w:p>
            <w:pPr>
              <w:pStyle w:val="Normal"/>
              <w:spacing w:lineRule="auto" w:line="240" w:before="0" w:after="0"/>
              <w:rPr>
                <w:rFonts w:ascii="Calibri" w:hAnsi="Calibri"/>
                <w:i/>
                <w:i/>
                <w:sz w:val="14"/>
              </w:rPr>
            </w:pPr>
            <w:r>
              <w:rPr>
                <w:rFonts w:ascii="Calibri" w:hAnsi="Calibri"/>
                <w: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1111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700 000,00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1112</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30 000,00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1113</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80 000,00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1342</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90 000,00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5)</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1345</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70 000,00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6)</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1386</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75 000,00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7)</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1387</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28 000,00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8)</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4116</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143133092</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181 300,77</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9)</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4116</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143533092</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761 681,58</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10)</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0</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4121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20 000,00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11)</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1039</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2111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200 000,00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12)</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3612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2329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141 000,00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13)</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3722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2112</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14)</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3725</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2111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66 000,00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4635" w:type="dxa"/>
            <w:gridSpan w:val="8"/>
            <w:tcBorders/>
            <w:shd w:color="auto" w:fill="DBDBDB" w:val="clear"/>
          </w:tcPr>
          <w:p>
            <w:pPr>
              <w:pStyle w:val="Normal"/>
              <w:spacing w:lineRule="auto" w:line="240" w:before="0" w:after="0"/>
              <w:rPr>
                <w:rFonts w:ascii="Calibri" w:hAnsi="Calibri"/>
                <w:b/>
                <w:sz w:val="14"/>
              </w:rPr>
            </w:pPr>
            <w:r>
              <w:rPr>
                <w:rFonts w:ascii="Calibri" w:hAnsi="Calibri"/>
                <w:b/>
                <w:sz w:val="14"/>
              </w:rPr>
              <w:t>PŘÍJMY celkem</w:t>
            </w:r>
          </w:p>
        </w:tc>
        <w:tc>
          <w:tcPr>
            <w:tcW w:w="1215"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r>
          </w:p>
        </w:tc>
        <w:tc>
          <w:tcPr>
            <w:tcW w:w="1215"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t> </w:t>
            </w:r>
            <w:r>
              <w:rPr>
                <w:rFonts w:ascii="Calibri" w:hAnsi="Calibri"/>
                <w:b/>
                <w:sz w:val="14"/>
              </w:rPr>
              <w:t>2 443 982,35</w:t>
            </w:r>
          </w:p>
        </w:tc>
        <w:tc>
          <w:tcPr>
            <w:tcW w:w="1214"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r>
          </w:p>
        </w:tc>
        <w:tc>
          <w:tcPr>
            <w:tcW w:w="2876"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r>
          </w:p>
        </w:tc>
      </w:tr>
      <w:tr>
        <w:trPr>
          <w:cantSplit w:val="true"/>
        </w:trPr>
        <w:tc>
          <w:tcPr>
            <w:tcW w:w="11155" w:type="dxa"/>
            <w:gridSpan w:val="12"/>
            <w:tcBorders/>
          </w:tcPr>
          <w:p>
            <w:pPr>
              <w:pStyle w:val="Normal"/>
              <w:spacing w:lineRule="auto" w:line="240" w:before="0" w:after="0"/>
              <w:rPr>
                <w:rFonts w:ascii="Calibri" w:hAnsi="Calibri"/>
                <w:b/>
                <w:sz w:val="18"/>
              </w:rPr>
            </w:pPr>
            <w:r>
              <w:rPr>
                <w:rFonts w:ascii="Calibri" w:hAnsi="Calibri"/>
                <w:b/>
                <w:sz w:val="18"/>
              </w:rPr>
            </w:r>
          </w:p>
        </w:tc>
      </w:tr>
      <w:tr>
        <w:trPr>
          <w:cantSplit w:val="true"/>
        </w:trPr>
        <w:tc>
          <w:tcPr>
            <w:tcW w:w="11155" w:type="dxa"/>
            <w:gridSpan w:val="12"/>
            <w:tcBorders>
              <w:top w:val="single" w:sz="6" w:space="0" w:color="000000"/>
            </w:tcBorders>
          </w:tcPr>
          <w:p>
            <w:pPr>
              <w:pStyle w:val="Normal"/>
              <w:spacing w:lineRule="auto" w:line="240" w:before="0" w:after="0"/>
              <w:rPr>
                <w:rFonts w:ascii="Calibri" w:hAnsi="Calibri"/>
                <w:b/>
                <w:sz w:val="25"/>
              </w:rPr>
            </w:pPr>
            <w:r>
              <w:rPr>
                <w:rFonts w:ascii="Calibri" w:hAnsi="Calibri"/>
                <w:b/>
                <w:sz w:val="25"/>
              </w:rPr>
            </w:r>
          </w:p>
        </w:tc>
      </w:tr>
      <w:tr>
        <w:trPr>
          <w:cantSplit w:val="true"/>
        </w:trPr>
        <w:tc>
          <w:tcPr>
            <w:tcW w:w="330" w:type="dxa"/>
            <w:tcBorders>
              <w:bottom w:val="single" w:sz="6" w:space="0" w:color="000000"/>
            </w:tcBorders>
            <w:tcMar>
              <w:start w:w="0" w:type="dxa"/>
              <w:end w:w="0" w:type="dxa"/>
            </w:tcMar>
          </w:tcPr>
          <w:p>
            <w:pPr>
              <w:pStyle w:val="Normal"/>
              <w:spacing w:lineRule="auto" w:line="240" w:before="0" w:after="0"/>
              <w:jc w:val="end"/>
              <w:rPr>
                <w:rFonts w:ascii="Calibri" w:hAnsi="Calibri"/>
                <w:i/>
                <w:i/>
                <w:sz w:val="14"/>
              </w:rPr>
            </w:pPr>
            <w:r>
              <w:rPr>
                <w:rFonts w:ascii="Calibri" w:hAnsi="Calibri"/>
                <w:i/>
                <w:sz w:val="14"/>
              </w:rPr>
            </w:r>
          </w:p>
        </w:tc>
        <w:tc>
          <w:tcPr>
            <w:tcW w:w="43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OdPa</w:t>
            </w:r>
          </w:p>
        </w:tc>
        <w:tc>
          <w:tcPr>
            <w:tcW w:w="447"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Pol</w:t>
            </w:r>
          </w:p>
        </w:tc>
        <w:tc>
          <w:tcPr>
            <w:tcW w:w="333"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ZJ</w:t>
            </w:r>
          </w:p>
        </w:tc>
        <w:tc>
          <w:tcPr>
            <w:tcW w:w="76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Uz</w:t>
            </w:r>
          </w:p>
        </w:tc>
        <w:tc>
          <w:tcPr>
            <w:tcW w:w="329"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Mu</w:t>
            </w:r>
          </w:p>
        </w:tc>
        <w:tc>
          <w:tcPr>
            <w:tcW w:w="886"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Orj</w:t>
            </w:r>
          </w:p>
        </w:tc>
        <w:tc>
          <w:tcPr>
            <w:tcW w:w="1110"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Org</w:t>
            </w:r>
          </w:p>
        </w:tc>
        <w:tc>
          <w:tcPr>
            <w:tcW w:w="121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Původní hodnota</w:t>
            </w:r>
          </w:p>
        </w:tc>
        <w:tc>
          <w:tcPr>
            <w:tcW w:w="1215"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t>Změna</w:t>
            </w:r>
          </w:p>
        </w:tc>
        <w:tc>
          <w:tcPr>
            <w:tcW w:w="1214" w:type="dxa"/>
            <w:tcBorders>
              <w:bottom w:val="single" w:sz="6" w:space="0" w:color="000000"/>
            </w:tcBorders>
          </w:tcPr>
          <w:p>
            <w:pPr>
              <w:pStyle w:val="Normal"/>
              <w:spacing w:lineRule="auto" w:line="240" w:before="0" w:after="0"/>
              <w:jc w:val="end"/>
              <w:rPr>
                <w:rFonts w:ascii="Calibri" w:hAnsi="Calibri"/>
                <w:i/>
                <w:i/>
                <w:sz w:val="14"/>
              </w:rPr>
            </w:pPr>
            <w:r>
              <w:rPr>
                <w:rFonts w:ascii="Calibri" w:hAnsi="Calibri"/>
                <w:i/>
                <w:sz w:val="14"/>
              </w:rPr>
            </w:r>
          </w:p>
        </w:tc>
        <w:tc>
          <w:tcPr>
            <w:tcW w:w="2876" w:type="dxa"/>
            <w:tcBorders>
              <w:bottom w:val="single" w:sz="6" w:space="0" w:color="000000"/>
            </w:tcBorders>
          </w:tcPr>
          <w:p>
            <w:pPr>
              <w:pStyle w:val="Normal"/>
              <w:spacing w:lineRule="auto" w:line="240" w:before="0" w:after="0"/>
              <w:rPr>
                <w:rFonts w:ascii="Calibri" w:hAnsi="Calibri"/>
                <w:i/>
                <w:i/>
                <w:sz w:val="14"/>
              </w:rPr>
            </w:pPr>
            <w:r>
              <w:rPr>
                <w:rFonts w:ascii="Calibri" w:hAnsi="Calibri"/>
                <w: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15)</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1039</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5169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210 000,00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16)</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2321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5169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11 000,00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17)</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3113</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5336</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143133092</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181 300,77</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18)</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3113</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5336</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143533092</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761 681,58</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19)</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3314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5021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20)</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3314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5136</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4 000,00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21)</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3314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5169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color w:val="FF0000"/>
                <w:sz w:val="14"/>
              </w:rPr>
            </w:pPr>
            <w:r>
              <w:rPr>
                <w:rFonts w:ascii="Calibri" w:hAnsi="Calibri"/>
                <w:color w:val="FF0000"/>
                <w:sz w:val="14"/>
              </w:rPr>
              <w:t>-4 000 ,00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22)</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3421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5164</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5 000,00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23)</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3421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5171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color w:val="FF0000"/>
                <w:sz w:val="14"/>
              </w:rPr>
            </w:pPr>
            <w:r>
              <w:rPr>
                <w:rFonts w:ascii="Calibri" w:hAnsi="Calibri"/>
                <w:color w:val="FF0000"/>
                <w:sz w:val="14"/>
              </w:rPr>
              <w:t>-5 000 ,00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24)</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3612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5151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25)</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3722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5169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180 000,00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26)</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3745</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6121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1 600 000,00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27)</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4351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5339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4 500,00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28)</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5311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5011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7 000,00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29)</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5311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5032</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600,00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trHeight w:val="122" w:hRule="atLeast"/>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30)</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5512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5139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3 000,00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31)</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5512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5171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color w:val="FF0000"/>
                <w:sz w:val="14"/>
              </w:rPr>
            </w:pPr>
            <w:r>
              <w:rPr>
                <w:rFonts w:ascii="Calibri" w:hAnsi="Calibri"/>
                <w:color w:val="FF0000"/>
                <w:sz w:val="14"/>
              </w:rPr>
              <w:t>-3 000 ,00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32)</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6112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5023</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48 000,00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33)</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6112</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5032</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3 500,00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34)</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5021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98071</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3 441,00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35)</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5137</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98071</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10 457,90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36)</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5139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98071</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1 718,50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37)</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5169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98071</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color w:val="FF0000"/>
                <w:sz w:val="14"/>
              </w:rPr>
            </w:pPr>
            <w:r>
              <w:rPr>
                <w:rFonts w:ascii="Calibri" w:hAnsi="Calibri"/>
                <w:color w:val="FF0000"/>
                <w:sz w:val="14"/>
              </w:rPr>
              <w:t>-6 112 ,00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38)</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6114</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5175</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t>98071</w:t>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color w:val="FF0000"/>
                <w:sz w:val="14"/>
              </w:rPr>
            </w:pPr>
            <w:r>
              <w:rPr>
                <w:rFonts w:ascii="Calibri" w:hAnsi="Calibri"/>
                <w:color w:val="FF0000"/>
                <w:sz w:val="14"/>
              </w:rPr>
              <w:t>-1 320 ,00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39)</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6171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5136</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36 000,00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40)</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6171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5139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30 000,00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41)</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6171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5154</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42)</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6171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5168</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15 000,00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43)</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6171</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6121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color w:val="FF0000"/>
                <w:sz w:val="14"/>
              </w:rPr>
            </w:pPr>
            <w:r>
              <w:rPr>
                <w:rFonts w:ascii="Calibri" w:hAnsi="Calibri"/>
                <w:color w:val="FF0000"/>
                <w:sz w:val="14"/>
              </w:rPr>
              <w:t>-673 785 ,40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44)</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6409</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5179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80 000,00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45)</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6409</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5221</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t> </w:t>
            </w:r>
            <w:r>
              <w:rPr>
                <w:rFonts w:ascii="Calibri" w:hAnsi="Calibri"/>
                <w:sz w:val="14"/>
              </w:rPr>
              <w:t>5 000,00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cantSplit w:val="true"/>
        </w:trPr>
        <w:tc>
          <w:tcPr>
            <w:tcW w:w="330" w:type="dxa"/>
            <w:tcBorders/>
            <w:tcMar>
              <w:start w:w="0" w:type="dxa"/>
              <w:end w:w="0" w:type="dxa"/>
            </w:tcMar>
            <w:vAlign w:val="center"/>
          </w:tcPr>
          <w:p>
            <w:pPr>
              <w:pStyle w:val="Normal"/>
              <w:spacing w:lineRule="auto" w:line="240" w:before="0" w:after="0"/>
              <w:jc w:val="end"/>
              <w:rPr>
                <w:rFonts w:ascii="Calibri" w:hAnsi="Calibri"/>
                <w:b/>
                <w:sz w:val="14"/>
              </w:rPr>
            </w:pPr>
            <w:r>
              <w:rPr>
                <w:rFonts w:ascii="Calibri" w:hAnsi="Calibri"/>
                <w:b/>
                <w:sz w:val="14"/>
              </w:rPr>
              <w:t>46)</w:t>
            </w:r>
          </w:p>
        </w:tc>
        <w:tc>
          <w:tcPr>
            <w:tcW w:w="435" w:type="dxa"/>
            <w:tcBorders/>
            <w:vAlign w:val="center"/>
          </w:tcPr>
          <w:p>
            <w:pPr>
              <w:pStyle w:val="Normal"/>
              <w:spacing w:lineRule="auto" w:line="240" w:before="0" w:after="0"/>
              <w:jc w:val="end"/>
              <w:rPr>
                <w:rFonts w:ascii="Calibri" w:hAnsi="Calibri"/>
                <w:sz w:val="14"/>
              </w:rPr>
            </w:pPr>
            <w:r>
              <w:rPr>
                <w:rFonts w:ascii="Calibri" w:hAnsi="Calibri"/>
                <w:sz w:val="14"/>
              </w:rPr>
              <w:t>6409</w:t>
            </w:r>
          </w:p>
        </w:tc>
        <w:tc>
          <w:tcPr>
            <w:tcW w:w="447" w:type="dxa"/>
            <w:tcBorders/>
            <w:vAlign w:val="center"/>
          </w:tcPr>
          <w:p>
            <w:pPr>
              <w:pStyle w:val="Normal"/>
              <w:spacing w:lineRule="auto" w:line="240" w:before="0" w:after="0"/>
              <w:jc w:val="end"/>
              <w:rPr>
                <w:rFonts w:ascii="Calibri" w:hAnsi="Calibri"/>
                <w:sz w:val="14"/>
              </w:rPr>
            </w:pPr>
            <w:r>
              <w:rPr>
                <w:rFonts w:ascii="Calibri" w:hAnsi="Calibri"/>
                <w:sz w:val="14"/>
              </w:rPr>
              <w:t>5229</w:t>
            </w:r>
          </w:p>
        </w:tc>
        <w:tc>
          <w:tcPr>
            <w:tcW w:w="333"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76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329"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886"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110"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1215" w:type="dxa"/>
            <w:tcBorders/>
            <w:vAlign w:val="center"/>
          </w:tcPr>
          <w:p>
            <w:pPr>
              <w:pStyle w:val="Normal"/>
              <w:spacing w:lineRule="auto" w:line="240" w:before="0" w:after="0"/>
              <w:jc w:val="end"/>
              <w:rPr>
                <w:rFonts w:ascii="Calibri" w:hAnsi="Calibri"/>
                <w:color w:val="FF0000"/>
                <w:sz w:val="14"/>
              </w:rPr>
            </w:pPr>
            <w:r>
              <w:rPr>
                <w:rFonts w:ascii="Calibri" w:hAnsi="Calibri"/>
                <w:color w:val="FF0000"/>
                <w:sz w:val="14"/>
              </w:rPr>
              <w:t>-85 000 ,00</w:t>
            </w:r>
          </w:p>
        </w:tc>
        <w:tc>
          <w:tcPr>
            <w:tcW w:w="1214" w:type="dxa"/>
            <w:tcBorders/>
            <w:vAlign w:val="center"/>
          </w:tcPr>
          <w:p>
            <w:pPr>
              <w:pStyle w:val="Normal"/>
              <w:spacing w:lineRule="auto" w:line="240" w:before="0" w:after="0"/>
              <w:jc w:val="end"/>
              <w:rPr>
                <w:rFonts w:ascii="Calibri" w:hAnsi="Calibri"/>
                <w:sz w:val="14"/>
              </w:rPr>
            </w:pPr>
            <w:r>
              <w:rPr>
                <w:rFonts w:ascii="Calibri" w:hAnsi="Calibri"/>
                <w:sz w:val="14"/>
              </w:rPr>
            </w:r>
          </w:p>
        </w:tc>
        <w:tc>
          <w:tcPr>
            <w:tcW w:w="2876" w:type="dxa"/>
            <w:tcBorders/>
            <w:vAlign w:val="center"/>
          </w:tcPr>
          <w:p>
            <w:pPr>
              <w:pStyle w:val="Normal"/>
              <w:spacing w:lineRule="auto" w:line="240" w:before="0" w:after="0"/>
              <w:rPr>
                <w:rFonts w:ascii="Calibri" w:hAnsi="Calibri"/>
                <w:sz w:val="14"/>
              </w:rPr>
            </w:pPr>
            <w:r>
              <w:rPr>
                <w:rFonts w:ascii="Calibri" w:hAnsi="Calibri"/>
                <w:sz w:val="14"/>
              </w:rPr>
            </w:r>
          </w:p>
        </w:tc>
      </w:tr>
      <w:tr>
        <w:trPr>
          <w:trHeight w:val="137" w:hRule="atLeast"/>
          <w:cantSplit w:val="true"/>
        </w:trPr>
        <w:tc>
          <w:tcPr>
            <w:tcW w:w="4635" w:type="dxa"/>
            <w:gridSpan w:val="8"/>
            <w:tcBorders/>
            <w:shd w:color="auto" w:fill="DBDBDB" w:val="clear"/>
          </w:tcPr>
          <w:p>
            <w:pPr>
              <w:pStyle w:val="Normal"/>
              <w:spacing w:lineRule="auto" w:line="240" w:before="0" w:after="0"/>
              <w:rPr>
                <w:rFonts w:ascii="Calibri" w:hAnsi="Calibri"/>
                <w:b/>
                <w:sz w:val="14"/>
              </w:rPr>
            </w:pPr>
            <w:r>
              <w:rPr>
                <w:rFonts w:ascii="Calibri" w:hAnsi="Calibri"/>
                <w:b/>
                <w:sz w:val="14"/>
              </w:rPr>
              <w:t>VÝDAJE celkem</w:t>
            </w:r>
          </w:p>
        </w:tc>
        <w:tc>
          <w:tcPr>
            <w:tcW w:w="1215"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r>
          </w:p>
        </w:tc>
        <w:tc>
          <w:tcPr>
            <w:tcW w:w="1215"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t> </w:t>
            </w:r>
            <w:r>
              <w:rPr>
                <w:rFonts w:ascii="Calibri" w:hAnsi="Calibri"/>
                <w:b/>
                <w:sz w:val="14"/>
              </w:rPr>
              <w:t>2 443 982,35</w:t>
            </w:r>
          </w:p>
        </w:tc>
        <w:tc>
          <w:tcPr>
            <w:tcW w:w="1214"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r>
          </w:p>
        </w:tc>
        <w:tc>
          <w:tcPr>
            <w:tcW w:w="2876" w:type="dxa"/>
            <w:tcBorders/>
            <w:shd w:color="auto" w:fill="DBDBDB" w:val="clear"/>
          </w:tcPr>
          <w:p>
            <w:pPr>
              <w:pStyle w:val="Normal"/>
              <w:spacing w:lineRule="auto" w:line="240" w:before="0" w:after="0"/>
              <w:jc w:val="end"/>
              <w:rPr>
                <w:rFonts w:ascii="Calibri" w:hAnsi="Calibri"/>
                <w:b/>
                <w:sz w:val="14"/>
              </w:rPr>
            </w:pPr>
            <w:r>
              <w:rPr>
                <w:rFonts w:ascii="Calibri" w:hAnsi="Calibri"/>
                <w:b/>
                <w:sz w:val="14"/>
              </w:rPr>
            </w:r>
          </w:p>
        </w:tc>
      </w:tr>
    </w:tbl>
    <w:p>
      <w:pPr>
        <w:pStyle w:val="Normal"/>
        <w:tabs>
          <w:tab w:val="clear" w:pos="709"/>
          <w:tab w:val="left" w:pos="360" w:leader="none"/>
        </w:tabs>
        <w:jc w:val="both"/>
        <w:rPr>
          <w:rFonts w:ascii="Times New Roman" w:hAnsi="Times New Roman" w:cs="Times New Roman"/>
          <w:b/>
          <w:bCs/>
          <w:color w:val="000000"/>
          <w:position w:val="0"/>
          <w:sz w:val="24"/>
          <w:sz w:val="24"/>
          <w:szCs w:val="24"/>
          <w:u w:val="single"/>
          <w:vertAlign w:val="baseline"/>
          <w:lang w:val="cs-CZ" w:eastAsia="cs-CZ" w:bidi="cs-CZ"/>
        </w:rPr>
      </w:pPr>
      <w:r>
        <w:rPr>
          <w:rFonts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cs="Times New Roman"/>
          <w:b/>
          <w:bCs/>
          <w:color w:val="000000"/>
          <w:position w:val="0"/>
          <w:sz w:val="24"/>
          <w:sz w:val="24"/>
          <w:szCs w:val="24"/>
          <w:u w:val="single"/>
          <w:vertAlign w:val="baseline"/>
          <w:lang w:val="cs-CZ" w:eastAsia="cs-CZ" w:bidi="cs-CZ"/>
        </w:rPr>
      </w:pPr>
      <w:r>
        <w:rPr>
          <w:rFonts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pPr>
      <w:r>
        <w:rPr>
          <w:rFonts w:cs="Times New Roman" w:ascii="Times New Roman" w:hAnsi="Times New Roman"/>
          <w:b/>
          <w:bCs/>
          <w:color w:val="000000"/>
          <w:position w:val="0"/>
          <w:sz w:val="24"/>
          <w:sz w:val="24"/>
          <w:szCs w:val="24"/>
          <w:u w:val="single"/>
          <w:vertAlign w:val="baseline"/>
          <w:lang w:val="cs-CZ" w:eastAsia="cs-CZ" w:bidi="cs-CZ"/>
        </w:rPr>
        <w:t>Usnesení č. 84</w:t>
      </w:r>
      <w:r>
        <w:rPr>
          <w:rFonts w:eastAsia="Times New Roman" w:cs="Times New Roman" w:ascii="Times New Roman" w:hAnsi="Times New Roman"/>
          <w:b/>
          <w:bCs/>
          <w:color w:val="000000"/>
          <w:position w:val="0"/>
          <w:sz w:val="24"/>
          <w:sz w:val="24"/>
          <w:szCs w:val="24"/>
          <w:u w:val="single"/>
          <w:vertAlign w:val="baseline"/>
          <w:lang w:val="cs-CZ" w:eastAsia="cs-CZ" w:bidi="cs-CZ"/>
        </w:rPr>
        <w:t>/2025</w:t>
      </w:r>
    </w:p>
    <w:p>
      <w:pPr>
        <w:pStyle w:val="Normal"/>
        <w:tabs>
          <w:tab w:val="clear" w:pos="709"/>
          <w:tab w:val="left" w:pos="360" w:leader="none"/>
        </w:tabs>
        <w:jc w:val="both"/>
        <w:rPr/>
      </w:pPr>
      <w:r>
        <w:rPr>
          <w:rFonts w:ascii="Times New Roman" w:hAnsi="Times New Roman"/>
        </w:rPr>
        <w:t>ZO Janov nad Nisou pověřuje starostu obce provedením případných rozpočtových změn, které by nastaly na konci roku 2025. ZO pak budou dány na vědomí na příštím zasedání v lednu 2026.</w:t>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eastAsia="Times New Roman" w:cs="Times New Roman"/>
          <w:b/>
          <w:bCs/>
          <w:color w:val="000000"/>
          <w:position w:val="0"/>
          <w:sz w:val="24"/>
          <w:sz w:val="24"/>
          <w:szCs w:val="24"/>
          <w:u w:val="single"/>
          <w:vertAlign w:val="baseline"/>
          <w:lang w:val="cs-CZ" w:eastAsia="cs-CZ" w:bidi="cs-CZ"/>
        </w:rPr>
      </w:pPr>
      <w:r>
        <w:rPr>
          <w:rFonts w:eastAsia="Times New Roman" w:cs="Times New Roman" w:ascii="Times New Roman" w:hAnsi="Times New Roman"/>
          <w:b/>
          <w:bCs/>
          <w:color w:val="000000"/>
          <w:position w:val="0"/>
          <w:sz w:val="24"/>
          <w:sz w:val="24"/>
          <w:szCs w:val="24"/>
          <w:u w:val="single"/>
          <w:vertAlign w:val="baseline"/>
          <w:lang w:val="cs-CZ" w:eastAsia="cs-CZ" w:bidi="cs-CZ"/>
        </w:rPr>
      </w:r>
    </w:p>
    <w:p>
      <w:pPr>
        <w:pStyle w:val="Normal"/>
        <w:tabs>
          <w:tab w:val="clear" w:pos="709"/>
          <w:tab w:val="left" w:pos="360" w:leader="none"/>
        </w:tabs>
        <w:jc w:val="both"/>
        <w:rPr>
          <w:rFonts w:ascii="Times New Roman" w:hAnsi="Times New Roman"/>
          <w:sz w:val="24"/>
          <w:szCs w:val="24"/>
        </w:rPr>
      </w:pPr>
      <w:r>
        <w:rPr>
          <w:rFonts w:ascii="Times New Roman" w:hAnsi="Times New Roman"/>
          <w:sz w:val="24"/>
          <w:szCs w:val="24"/>
        </w:rPr>
      </w:r>
    </w:p>
    <w:p>
      <w:pPr>
        <w:pStyle w:val="Normal"/>
        <w:tabs>
          <w:tab w:val="clear" w:pos="709"/>
          <w:tab w:val="left" w:pos="360" w:leader="none"/>
        </w:tabs>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cs="Times New Roman"/>
          <w:b w:val="false"/>
          <w:bCs w:val="false"/>
          <w:i w:val="false"/>
          <w:i w:val="false"/>
          <w:iCs w:val="false"/>
          <w:sz w:val="24"/>
          <w:szCs w:val="24"/>
          <w:u w:val="single"/>
        </w:rPr>
      </w:pPr>
      <w:r>
        <w:rPr>
          <w:rFonts w:cs="Times New Roman" w:ascii="Times New Roman" w:hAnsi="Times New Roman"/>
          <w:b w:val="false"/>
          <w:bCs w:val="false"/>
          <w:i w:val="false"/>
          <w:iCs w:val="false"/>
          <w:sz w:val="24"/>
          <w:szCs w:val="24"/>
          <w:u w:val="single"/>
        </w:rPr>
      </w:r>
    </w:p>
    <w:p>
      <w:pPr>
        <w:pStyle w:val="Normal"/>
        <w:jc w:val="both"/>
        <w:rPr>
          <w:rFonts w:ascii="Times New Roman" w:hAnsi="Times New Roman"/>
          <w:sz w:val="24"/>
          <w:szCs w:val="24"/>
        </w:rPr>
      </w:pPr>
      <w:r>
        <w:rPr>
          <w:rFonts w:eastAsia="Times New Roman" w:cs="Times New Roman" w:ascii="Times New Roman" w:hAnsi="Times New Roman"/>
          <w:b w:val="false"/>
          <w:bCs w:val="false"/>
          <w:i w:val="false"/>
          <w:iCs w:val="false"/>
          <w:color w:val="000000"/>
          <w:sz w:val="24"/>
          <w:szCs w:val="24"/>
          <w:u w:val="none"/>
          <w:lang w:val="cs-CZ" w:eastAsia="cs-CZ" w:bidi="cs-CZ"/>
        </w:rPr>
        <w:t xml:space="preserve">               </w:t>
      </w:r>
      <w:r>
        <w:rPr>
          <w:rFonts w:eastAsia="Times New Roman" w:cs="Times New Roman" w:ascii="Times New Roman" w:hAnsi="Times New Roman"/>
          <w:b w:val="false"/>
          <w:bCs w:val="false"/>
          <w:i w:val="false"/>
          <w:iCs w:val="false"/>
          <w:color w:val="000000"/>
          <w:sz w:val="24"/>
          <w:szCs w:val="24"/>
          <w:u w:val="none"/>
          <w:lang w:val="cs-CZ" w:eastAsia="cs-CZ" w:bidi="cs-CZ"/>
        </w:rPr>
        <w:t xml:space="preserve">Mgr. Daniel David                                               </w:t>
        <w:tab/>
        <w:t xml:space="preserve"> </w:t>
        <w:tab/>
        <w:t xml:space="preserve">  Renata Mádlová </w:t>
      </w:r>
    </w:p>
    <w:p>
      <w:pPr>
        <w:pStyle w:val="Normal"/>
        <w:jc w:val="both"/>
        <w:rPr>
          <w:rFonts w:ascii="Times New Roman" w:hAnsi="Times New Roman"/>
          <w:sz w:val="24"/>
          <w:szCs w:val="24"/>
        </w:rPr>
      </w:pPr>
      <w:r>
        <w:rPr>
          <w:rFonts w:ascii="Times New Roman" w:hAnsi="Times New Roman"/>
          <w:b w:val="false"/>
          <w:bCs w:val="false"/>
          <w:i w:val="false"/>
          <w:iCs w:val="false"/>
          <w:caps w:val="false"/>
          <w:smallCaps w:val="false"/>
          <w:strike w:val="false"/>
          <w:dstrike w:val="false"/>
          <w:outline w:val="false"/>
          <w:shadow w:val="false"/>
          <w:spacing w:val="0"/>
          <w:kern w:val="2"/>
          <w:sz w:val="24"/>
          <w:szCs w:val="24"/>
          <w:u w:val="none"/>
          <w:shd w:fill="auto" w:val="clear"/>
        </w:rPr>
        <w:t xml:space="preserve">               </w:t>
      </w:r>
      <w:r>
        <w:rPr>
          <w:rFonts w:ascii="Times New Roman" w:hAnsi="Times New Roman"/>
          <w:b w:val="false"/>
          <w:bCs w:val="false"/>
          <w:i w:val="false"/>
          <w:iCs w:val="false"/>
          <w:caps w:val="false"/>
          <w:smallCaps w:val="false"/>
          <w:strike w:val="false"/>
          <w:dstrike w:val="false"/>
          <w:outline w:val="false"/>
          <w:shadow w:val="false"/>
          <w:spacing w:val="0"/>
          <w:kern w:val="2"/>
          <w:sz w:val="24"/>
          <w:szCs w:val="24"/>
          <w:u w:val="none"/>
          <w:shd w:fill="auto" w:val="clear"/>
        </w:rPr>
        <w:t xml:space="preserve">starosta obce                                                      </w:t>
        <w:tab/>
        <w:t xml:space="preserve"> </w:t>
        <w:tab/>
        <w:t xml:space="preserve">  místostarostka obce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roman"/>
    <w:pitch w:val="variable"/>
  </w:font>
  <w:font w:name="Times New Roman">
    <w:charset w:val="ee" w:characterSet="windows-1250"/>
    <w:family w:val="roman"/>
    <w:pitch w:val="variable"/>
  </w:font>
  <w:font w:name="Calibri">
    <w:charset w:val="ee" w:characterSet="windows-125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cs-CZ" w:eastAsia="zh-CN" w:bidi="hi-IN"/>
    </w:rPr>
  </w:style>
  <w:style w:type="character" w:styleId="Hyperlink">
    <w:name w:val="Hyperlink"/>
    <w:rPr>
      <w:color w:val="000080"/>
      <w:u w:val="single"/>
      <w:lang w:val="zxx" w:eastAsia="zxx" w:bidi="zxx"/>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3</Pages>
  <Words>642</Words>
  <Characters>3040</Characters>
  <CharactersWithSpaces>3638</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2025-12-19T07:58:24Z</dcterms:created>
  <dc:creator/>
  <dc:description/>
  <dc:language>cs-CZ</dc:language>
  <cp:lastModifiedBy/>
  <dcterms:modified xsi:type="dcterms:W3CDTF">2025-12-19T08:01:09Z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